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EC182"/>
    <w:p w14:paraId="41D3C9E8">
      <w:pPr>
        <w:spacing w:line="540" w:lineRule="exact"/>
        <w:jc w:val="center"/>
        <w:rPr>
          <w:rFonts w:eastAsia="华文中宋"/>
          <w:b/>
          <w:kern w:val="0"/>
          <w:sz w:val="52"/>
          <w:szCs w:val="52"/>
        </w:rPr>
      </w:pPr>
    </w:p>
    <w:p w14:paraId="12957DAC">
      <w:pPr>
        <w:spacing w:line="540" w:lineRule="exact"/>
        <w:rPr>
          <w:rFonts w:eastAsia="华文中宋"/>
          <w:b/>
          <w:kern w:val="0"/>
          <w:sz w:val="52"/>
          <w:szCs w:val="52"/>
        </w:rPr>
      </w:pPr>
    </w:p>
    <w:p w14:paraId="3C694D0A">
      <w:pPr>
        <w:spacing w:line="540" w:lineRule="exact"/>
        <w:jc w:val="center"/>
        <w:rPr>
          <w:rFonts w:eastAsia="华文中宋"/>
          <w:b/>
          <w:kern w:val="0"/>
          <w:sz w:val="52"/>
          <w:szCs w:val="52"/>
        </w:rPr>
      </w:pPr>
    </w:p>
    <w:p w14:paraId="738AE5BA">
      <w:pPr>
        <w:spacing w:line="540" w:lineRule="exact"/>
        <w:jc w:val="center"/>
        <w:rPr>
          <w:rFonts w:hint="eastAsia" w:ascii="方正小标宋_GBK" w:hAnsi="方正小标宋_GBK" w:eastAsia="方正小标宋_GBK" w:cs="方正小标宋_GBK"/>
          <w:kern w:val="0"/>
          <w:sz w:val="48"/>
          <w:szCs w:val="48"/>
          <w:highlight w:val="none"/>
        </w:rPr>
      </w:pPr>
      <w:r>
        <w:rPr>
          <w:rFonts w:hint="eastAsia" w:ascii="方正小标宋_GBK" w:hAnsi="方正小标宋_GBK" w:eastAsia="方正小标宋_GBK" w:cs="方正小标宋_GBK"/>
          <w:kern w:val="0"/>
          <w:sz w:val="48"/>
          <w:szCs w:val="48"/>
          <w:highlight w:val="none"/>
        </w:rPr>
        <w:t>乌财科教[2023]164号关于提前下达2024年中央义务教育薄弱环节改善与能力</w:t>
      </w:r>
    </w:p>
    <w:p w14:paraId="400B27D7">
      <w:pPr>
        <w:spacing w:line="540" w:lineRule="exact"/>
        <w:jc w:val="center"/>
        <w:rPr>
          <w:rFonts w:hint="eastAsia" w:ascii="方正小标宋_GBK" w:hAnsi="方正小标宋_GBK" w:eastAsia="方正小标宋_GBK" w:cs="方正小标宋_GBK"/>
          <w:kern w:val="0"/>
          <w:sz w:val="48"/>
          <w:szCs w:val="48"/>
          <w:highlight w:val="none"/>
        </w:rPr>
      </w:pPr>
      <w:r>
        <w:rPr>
          <w:rFonts w:hint="eastAsia" w:ascii="方正小标宋_GBK" w:hAnsi="方正小标宋_GBK" w:eastAsia="方正小标宋_GBK" w:cs="方正小标宋_GBK"/>
          <w:kern w:val="0"/>
          <w:sz w:val="48"/>
          <w:szCs w:val="48"/>
          <w:highlight w:val="none"/>
        </w:rPr>
        <w:t>提升补助资金预算的通知</w:t>
      </w:r>
    </w:p>
    <w:p w14:paraId="0F6036D4">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highlight w:val="none"/>
        </w:rPr>
        <w:t>（振安街南学校）</w:t>
      </w:r>
      <w:r>
        <w:rPr>
          <w:rFonts w:hint="eastAsia" w:ascii="方正小标宋_GBK" w:hAnsi="方正小标宋_GBK" w:eastAsia="方正小标宋_GBK" w:cs="方正小标宋_GBK"/>
          <w:kern w:val="0"/>
          <w:sz w:val="48"/>
          <w:szCs w:val="48"/>
        </w:rPr>
        <w:t>支出</w:t>
      </w:r>
    </w:p>
    <w:p w14:paraId="6BD5D598">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绩效评价报告</w:t>
      </w:r>
    </w:p>
    <w:p w14:paraId="39BC7695">
      <w:pPr>
        <w:spacing w:line="540" w:lineRule="exact"/>
        <w:jc w:val="center"/>
        <w:rPr>
          <w:rFonts w:eastAsia="华文中宋"/>
          <w:b/>
          <w:kern w:val="0"/>
          <w:sz w:val="52"/>
          <w:szCs w:val="52"/>
        </w:rPr>
      </w:pPr>
    </w:p>
    <w:p w14:paraId="09B75BF0">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51C9556C">
      <w:pPr>
        <w:spacing w:line="540" w:lineRule="exact"/>
        <w:jc w:val="center"/>
        <w:rPr>
          <w:rFonts w:eastAsia="仿宋_GB2312"/>
          <w:kern w:val="0"/>
          <w:sz w:val="30"/>
          <w:szCs w:val="30"/>
        </w:rPr>
      </w:pPr>
    </w:p>
    <w:p w14:paraId="70BAA02F">
      <w:pPr>
        <w:pStyle w:val="8"/>
        <w:jc w:val="both"/>
      </w:pPr>
    </w:p>
    <w:p w14:paraId="2C817E1F">
      <w:pPr>
        <w:pStyle w:val="8"/>
        <w:rPr>
          <w:rFonts w:eastAsia="仿宋_GB2312"/>
          <w:kern w:val="0"/>
          <w:sz w:val="30"/>
          <w:szCs w:val="30"/>
        </w:rPr>
      </w:pPr>
    </w:p>
    <w:p w14:paraId="26F2130D"/>
    <w:p w14:paraId="7D7517B3"/>
    <w:p w14:paraId="4EA99FDC">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eastAsia="仿宋_GB2312"/>
          <w:kern w:val="0"/>
          <w:sz w:val="36"/>
          <w:szCs w:val="36"/>
        </w:rPr>
      </w:pPr>
      <w:r>
        <w:rPr>
          <w:rFonts w:eastAsia="仿宋_GB2312"/>
          <w:kern w:val="0"/>
          <w:sz w:val="36"/>
          <w:szCs w:val="36"/>
        </w:rPr>
        <w:t>项目名称：</w:t>
      </w:r>
      <w:r>
        <w:rPr>
          <w:rFonts w:hint="eastAsia" w:eastAsia="仿宋_GB2312"/>
          <w:kern w:val="0"/>
          <w:sz w:val="36"/>
          <w:szCs w:val="36"/>
        </w:rPr>
        <w:t>乌财科教[2023]164号关于提前下达2024年中央义务教育薄弱环节改善与能力提升补助资金预算的通知（振安街南学校）</w:t>
      </w:r>
    </w:p>
    <w:p w14:paraId="695D02AF">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eastAsia="zh-CN"/>
        </w:rPr>
        <w:t>乌鲁木齐市水磨沟区教育局</w:t>
      </w:r>
    </w:p>
    <w:p w14:paraId="62A414FB">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杨昌盛</w:t>
      </w:r>
    </w:p>
    <w:p w14:paraId="38278766">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eastAsia="仿宋_GB2312"/>
          <w:kern w:val="0"/>
          <w:sz w:val="30"/>
          <w:szCs w:val="30"/>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15</w:t>
      </w:r>
      <w:r>
        <w:rPr>
          <w:rFonts w:eastAsia="仿宋_GB2312"/>
          <w:kern w:val="0"/>
          <w:sz w:val="36"/>
          <w:szCs w:val="36"/>
        </w:rPr>
        <w:t>日</w:t>
      </w:r>
    </w:p>
    <w:p w14:paraId="411E45B7">
      <w:pPr>
        <w:spacing w:line="540" w:lineRule="exact"/>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p>
    <w:p w14:paraId="649ABCF3">
      <w:pPr>
        <w:spacing w:line="560" w:lineRule="exact"/>
        <w:ind w:firstLine="640" w:firstLineChars="200"/>
        <w:rPr>
          <w:rFonts w:eastAsia="黑体"/>
          <w:bCs/>
          <w:sz w:val="32"/>
          <w:szCs w:val="32"/>
        </w:rPr>
      </w:pPr>
      <w:r>
        <w:rPr>
          <w:rFonts w:eastAsia="黑体"/>
          <w:bCs/>
          <w:sz w:val="32"/>
          <w:szCs w:val="32"/>
        </w:rPr>
        <w:t>一、基本情况</w:t>
      </w:r>
    </w:p>
    <w:p w14:paraId="18460D2B">
      <w:pPr>
        <w:spacing w:line="560" w:lineRule="exact"/>
        <w:ind w:firstLine="643" w:firstLineChars="200"/>
        <w:rPr>
          <w:rFonts w:eastAsia="楷体_GB2312"/>
          <w:b/>
          <w:bCs/>
          <w:sz w:val="32"/>
          <w:szCs w:val="32"/>
        </w:rPr>
      </w:pPr>
      <w:r>
        <w:rPr>
          <w:rFonts w:eastAsia="楷体_GB2312"/>
          <w:b/>
          <w:bCs/>
          <w:sz w:val="32"/>
          <w:szCs w:val="32"/>
        </w:rPr>
        <w:t>（一）项目概况</w:t>
      </w:r>
    </w:p>
    <w:p w14:paraId="14897EB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1B113A62">
      <w:pPr>
        <w:keepNext w:val="0"/>
        <w:keepLines w:val="0"/>
        <w:pageBreakBefore w:val="0"/>
        <w:widowControl w:val="0"/>
        <w:kinsoku/>
        <w:wordWrap/>
        <w:overflowPunct/>
        <w:topLinePunct w:val="0"/>
        <w:autoSpaceDE w:val="0"/>
        <w:autoSpaceDN w:val="0"/>
        <w:bidi w:val="0"/>
        <w:adjustRightInd w:val="0"/>
        <w:snapToGrid w:val="0"/>
        <w:spacing w:line="560" w:lineRule="exact"/>
        <w:ind w:firstLine="680"/>
        <w:textAlignment w:val="auto"/>
        <w:outlineLvl w:val="1"/>
        <w:rPr>
          <w:rFonts w:hint="eastAsia" w:ascii="仿宋_GB2312" w:hAnsi="仿宋_GB2312" w:eastAsia="仿宋_GB2312" w:cs="仿宋_GB2312"/>
          <w:spacing w:val="10"/>
          <w:kern w:val="0"/>
          <w:sz w:val="32"/>
          <w:szCs w:val="32"/>
          <w:lang w:bidi="zh-CN"/>
        </w:rPr>
      </w:pPr>
      <w:r>
        <w:rPr>
          <w:rFonts w:hint="eastAsia" w:ascii="仿宋_GB2312" w:hAnsi="仿宋_GB2312" w:eastAsia="仿宋_GB2312" w:cs="仿宋_GB2312"/>
          <w:spacing w:val="10"/>
          <w:kern w:val="0"/>
          <w:sz w:val="32"/>
          <w:szCs w:val="32"/>
          <w:lang w:bidi="zh-CN"/>
        </w:rPr>
        <w:t>新疆维吾尔自治区地处祖国西北，是国家西部的战略屏障。作为我国实施西部大开发战略的重点地区和亚欧大陆向西开放的桥头堡、战略资源的重要基地，新疆的发展和稳定，具有重要的战略意义。教育是一个国家、一个地区发展的基础，更是国家在新疆实施的稳疆兴疆、兴边富民的基石。</w:t>
      </w:r>
    </w:p>
    <w:p w14:paraId="16AF44BF">
      <w:pPr>
        <w:keepNext w:val="0"/>
        <w:keepLines w:val="0"/>
        <w:pageBreakBefore w:val="0"/>
        <w:widowControl w:val="0"/>
        <w:kinsoku/>
        <w:wordWrap/>
        <w:overflowPunct/>
        <w:topLinePunct w:val="0"/>
        <w:autoSpaceDE w:val="0"/>
        <w:autoSpaceDN w:val="0"/>
        <w:bidi w:val="0"/>
        <w:adjustRightInd w:val="0"/>
        <w:snapToGrid w:val="0"/>
        <w:spacing w:line="560" w:lineRule="exact"/>
        <w:ind w:firstLine="680"/>
        <w:textAlignment w:val="auto"/>
        <w:outlineLvl w:val="1"/>
        <w:rPr>
          <w:rFonts w:hint="eastAsia" w:ascii="仿宋_GB2312" w:hAnsi="仿宋_GB2312" w:eastAsia="仿宋_GB2312" w:cs="仿宋_GB2312"/>
          <w:spacing w:val="10"/>
          <w:kern w:val="0"/>
          <w:sz w:val="32"/>
          <w:szCs w:val="32"/>
          <w:lang w:bidi="zh-CN"/>
        </w:rPr>
      </w:pPr>
      <w:r>
        <w:rPr>
          <w:rFonts w:hint="eastAsia" w:ascii="仿宋_GB2312" w:hAnsi="仿宋_GB2312" w:eastAsia="仿宋_GB2312" w:cs="仿宋_GB2312"/>
          <w:spacing w:val="10"/>
          <w:kern w:val="0"/>
          <w:sz w:val="32"/>
          <w:szCs w:val="32"/>
          <w:lang w:bidi="zh-CN"/>
        </w:rPr>
        <w:t>近年来，根据</w:t>
      </w:r>
      <w:r>
        <w:rPr>
          <w:rFonts w:hint="eastAsia" w:ascii="仿宋_GB2312" w:hAnsi="仿宋_GB2312" w:eastAsia="仿宋_GB2312" w:cs="仿宋_GB2312"/>
          <w:spacing w:val="10"/>
          <w:kern w:val="0"/>
          <w:sz w:val="32"/>
          <w:szCs w:val="32"/>
          <w:lang w:val="zh-CN" w:bidi="zh-CN"/>
        </w:rPr>
        <w:t>《新疆维吾尔自治区“十三五”教育事业发展规划》，</w:t>
      </w:r>
      <w:r>
        <w:rPr>
          <w:rFonts w:hint="eastAsia" w:ascii="仿宋_GB2312" w:hAnsi="仿宋_GB2312" w:eastAsia="仿宋_GB2312" w:cs="仿宋_GB2312"/>
          <w:spacing w:val="10"/>
          <w:kern w:val="0"/>
          <w:sz w:val="32"/>
          <w:szCs w:val="32"/>
          <w:lang w:bidi="zh-CN"/>
        </w:rPr>
        <w:t>乌鲁木齐市委、市政府高度重视教育工作，市领导超前谋划，深入开展调研，结合乌鲁木齐教育改革发展现状，重点围绕学前教育、经费保障、教师队伍、办学条件、均衡发展、双语教育等重大问题，组织力量广泛开展调研，摸清现状，寻找差距、理清发展思路；通过各种渠道广泛征求社会对教育改革发展的意见建议，倾听群众呼声和家长、学生对教育发展的意见；及时成立乌鲁木齐市教育改革发展规划纲要起草小组，邀请各校校长、专家学者、人大代表、政协委员共谋发展大计，努力寻求一条适合乌鲁木齐实际，能推动教育长治久安发展的新对策、新思路。</w:t>
      </w:r>
    </w:p>
    <w:p w14:paraId="61C93851">
      <w:pPr>
        <w:pStyle w:val="9"/>
        <w:keepNext w:val="0"/>
        <w:keepLines w:val="0"/>
        <w:pageBreakBefore w:val="0"/>
        <w:widowControl w:val="0"/>
        <w:kinsoku/>
        <w:wordWrap/>
        <w:overflowPunct/>
        <w:topLinePunct w:val="0"/>
        <w:bidi w:val="0"/>
        <w:spacing w:line="560" w:lineRule="exact"/>
        <w:ind w:firstLine="640"/>
        <w:textAlignment w:val="auto"/>
        <w:rPr>
          <w:rStyle w:val="14"/>
          <w:rFonts w:hint="eastAsia" w:ascii="仿宋_GB2312" w:hAnsi="仿宋_GB2312" w:eastAsia="仿宋_GB2312" w:cs="仿宋_GB2312"/>
          <w:b w:val="0"/>
          <w:spacing w:val="-4"/>
          <w:sz w:val="32"/>
          <w:szCs w:val="32"/>
          <w:highlight w:val="yellow"/>
        </w:rPr>
      </w:pPr>
      <w:r>
        <w:rPr>
          <w:rFonts w:hint="eastAsia" w:ascii="仿宋_GB2312" w:hAnsi="仿宋_GB2312" w:eastAsia="仿宋_GB2312" w:cs="仿宋_GB2312"/>
          <w:sz w:val="32"/>
          <w:szCs w:val="32"/>
        </w:rPr>
        <w:t>为进一步提升优质基础教育资源的辐射能力，加快义务教育均衡、公平发展并努力推进教育现代化，</w:t>
      </w:r>
      <w:r>
        <w:rPr>
          <w:rFonts w:hint="eastAsia" w:ascii="仿宋_GB2312" w:hAnsi="仿宋_GB2312" w:eastAsia="仿宋_GB2312" w:cs="仿宋_GB2312"/>
          <w:spacing w:val="10"/>
          <w:sz w:val="32"/>
          <w:szCs w:val="32"/>
          <w:lang w:bidi="zh-CN"/>
        </w:rPr>
        <w:t>根据乌鲁木齐市水磨沟区经济和发展和改革委员会《关于对振安街南学校（校区）立项的批复》（水发改函[20</w:t>
      </w:r>
      <w:r>
        <w:rPr>
          <w:rFonts w:hint="eastAsia" w:ascii="仿宋_GB2312" w:hAnsi="仿宋_GB2312" w:eastAsia="仿宋_GB2312" w:cs="仿宋_GB2312"/>
          <w:spacing w:val="10"/>
          <w:sz w:val="32"/>
          <w:szCs w:val="32"/>
          <w:lang w:val="en-US" w:bidi="zh-CN"/>
        </w:rPr>
        <w:t>21</w:t>
      </w:r>
      <w:r>
        <w:rPr>
          <w:rFonts w:hint="eastAsia" w:ascii="仿宋_GB2312" w:hAnsi="仿宋_GB2312" w:eastAsia="仿宋_GB2312" w:cs="仿宋_GB2312"/>
          <w:spacing w:val="10"/>
          <w:sz w:val="32"/>
          <w:szCs w:val="32"/>
          <w:lang w:bidi="zh-CN"/>
        </w:rPr>
        <w:t>]</w:t>
      </w:r>
      <w:r>
        <w:rPr>
          <w:rFonts w:hint="eastAsia" w:ascii="仿宋_GB2312" w:hAnsi="仿宋_GB2312" w:eastAsia="仿宋_GB2312" w:cs="仿宋_GB2312"/>
          <w:spacing w:val="10"/>
          <w:sz w:val="32"/>
          <w:szCs w:val="32"/>
          <w:lang w:val="en-US" w:bidi="zh-CN"/>
        </w:rPr>
        <w:t>90</w:t>
      </w:r>
      <w:r>
        <w:rPr>
          <w:rFonts w:hint="eastAsia" w:ascii="仿宋_GB2312" w:hAnsi="仿宋_GB2312" w:eastAsia="仿宋_GB2312" w:cs="仿宋_GB2312"/>
          <w:spacing w:val="10"/>
          <w:sz w:val="32"/>
          <w:szCs w:val="32"/>
          <w:lang w:bidi="zh-CN"/>
        </w:rPr>
        <w:t>号）批准立项，</w:t>
      </w:r>
      <w:r>
        <w:rPr>
          <w:rFonts w:hint="eastAsia" w:ascii="仿宋_GB2312" w:hAnsi="仿宋_GB2312" w:eastAsia="仿宋_GB2312" w:cs="仿宋_GB2312"/>
          <w:sz w:val="32"/>
          <w:szCs w:val="32"/>
        </w:rPr>
        <w:t>由水磨沟区教育局代建</w:t>
      </w:r>
      <w:r>
        <w:rPr>
          <w:rFonts w:hint="eastAsia" w:ascii="仿宋_GB2312" w:hAnsi="仿宋_GB2312" w:eastAsia="仿宋_GB2312" w:cs="仿宋_GB2312"/>
          <w:sz w:val="32"/>
          <w:szCs w:val="32"/>
          <w:lang w:eastAsia="zh-CN"/>
        </w:rPr>
        <w:t>振安街南</w:t>
      </w:r>
      <w:r>
        <w:rPr>
          <w:rFonts w:hint="eastAsia" w:ascii="仿宋_GB2312" w:hAnsi="仿宋_GB2312" w:eastAsia="仿宋_GB2312" w:cs="仿宋_GB2312"/>
          <w:sz w:val="32"/>
          <w:szCs w:val="32"/>
        </w:rPr>
        <w:t>学校，学校的建成将带动水磨沟区区域内义务教育阶段在教育管理、教育科研、教育技术等方面的发展。</w:t>
      </w:r>
    </w:p>
    <w:p w14:paraId="6D3F9322">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0F355309">
      <w:pPr>
        <w:spacing w:line="560" w:lineRule="exact"/>
        <w:ind w:firstLine="640" w:firstLineChars="200"/>
        <w:rPr>
          <w:rFonts w:eastAsia="仿宋_GB2312"/>
          <w:color w:val="auto"/>
          <w:sz w:val="32"/>
          <w:szCs w:val="32"/>
        </w:rPr>
      </w:pPr>
      <w:r>
        <w:rPr>
          <w:rFonts w:hint="eastAsia" w:eastAsia="仿宋_GB2312"/>
          <w:color w:val="auto"/>
          <w:sz w:val="32"/>
          <w:szCs w:val="32"/>
        </w:rPr>
        <w:t>项目主要内容：振安街学校为九年义务教育学校，建成包含24个教学班，可容纳1080名学生，为学生创造一个良好的学习环境，保障学生就学需求，实现义务教育均衡发展验收目标，提升了我区义务教育阶段学校办学条件。建设总建筑面积28956平方米：教学楼12096平方米，地下一层、地上五层；综合楼5000平方米，地下一层、地上四层；体艺楼5000平方米，地下一层、地上三层；食堂1200平方米，地上二层；卫生间600平方米，地上二层；人防设施5000平方米，地下一层；学校大门，门卫室和值班室60平方米，消防水池，250米塑胶跑道，室外管网配套设施，建筑周边硬化铺装及绿化景观工程等附属设施项目。</w:t>
      </w:r>
    </w:p>
    <w:p w14:paraId="51FDE831">
      <w:pPr>
        <w:spacing w:line="560" w:lineRule="exact"/>
        <w:ind w:firstLine="640" w:firstLineChars="200"/>
        <w:rPr>
          <w:rFonts w:hint="default"/>
          <w:color w:val="FF0000"/>
          <w:lang w:val="en-US"/>
        </w:rPr>
      </w:pPr>
      <w:r>
        <w:rPr>
          <w:rFonts w:eastAsia="仿宋_GB2312"/>
          <w:color w:val="auto"/>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eastAsia="仿宋_GB2312"/>
          <w:color w:val="auto"/>
          <w:sz w:val="32"/>
          <w:szCs w:val="32"/>
          <w:lang w:val="en-US" w:eastAsia="zh-CN"/>
        </w:rPr>
        <w:t>2024年已完成中学教学楼、小学教学楼、艺体综合楼、食堂、看台、门卫室、地下车库、防空地下室等建筑主体施工，包括各项安装工程达标。室外工程完成围墙、景墙、操场、管网等建设。确保所有工程进度按计划推进，保证工程质量。</w:t>
      </w:r>
    </w:p>
    <w:p w14:paraId="3D50658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66D1D05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163097B7">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1670</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1670</w:t>
      </w:r>
      <w:r>
        <w:rPr>
          <w:rFonts w:hint="eastAsia" w:ascii="仿宋_GB2312" w:hAnsi="仿宋_GB2312" w:eastAsia="仿宋_GB2312" w:cs="仿宋_GB2312"/>
          <w:sz w:val="32"/>
          <w:szCs w:val="32"/>
          <w:highlight w:val="none"/>
        </w:rPr>
        <w:t>万元，实际总投入</w:t>
      </w:r>
      <w:r>
        <w:rPr>
          <w:rFonts w:hint="eastAsia" w:ascii="仿宋_GB2312" w:hAnsi="仿宋_GB2312" w:eastAsia="仿宋_GB2312" w:cs="仿宋_GB2312"/>
          <w:sz w:val="32"/>
          <w:szCs w:val="32"/>
          <w:highlight w:val="none"/>
          <w:lang w:val="en-US" w:eastAsia="zh-CN"/>
        </w:rPr>
        <w:t>1670</w:t>
      </w:r>
      <w:r>
        <w:rPr>
          <w:rFonts w:hint="eastAsia" w:ascii="仿宋_GB2312" w:hAnsi="仿宋_GB2312" w:eastAsia="仿宋_GB2312" w:cs="仿宋_GB2312"/>
          <w:sz w:val="32"/>
          <w:szCs w:val="32"/>
          <w:highlight w:val="none"/>
        </w:rPr>
        <w:t>万元，该项目资金已全部落实到位，资金来源为</w:t>
      </w:r>
      <w:r>
        <w:rPr>
          <w:rFonts w:hint="eastAsia" w:ascii="仿宋_GB2312" w:hAnsi="仿宋_GB2312" w:eastAsia="仿宋_GB2312" w:cs="仿宋_GB2312"/>
          <w:sz w:val="32"/>
          <w:szCs w:val="32"/>
          <w:highlight w:val="none"/>
          <w:lang w:eastAsia="zh-CN"/>
        </w:rPr>
        <w:t>上级转移支付</w:t>
      </w:r>
      <w:r>
        <w:rPr>
          <w:rFonts w:hint="eastAsia" w:ascii="仿宋_GB2312" w:hAnsi="仿宋_GB2312" w:eastAsia="仿宋_GB2312" w:cs="仿宋_GB2312"/>
          <w:sz w:val="32"/>
          <w:szCs w:val="32"/>
          <w:highlight w:val="none"/>
        </w:rPr>
        <w:t>。</w:t>
      </w:r>
    </w:p>
    <w:p w14:paraId="6FE5AB2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17232CE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eastAsia" w:ascii="仿宋_GB2312" w:hAnsi="仿宋_GB2312" w:eastAsia="仿宋_GB2312" w:cs="仿宋_GB2312"/>
          <w:sz w:val="32"/>
          <w:szCs w:val="32"/>
          <w:highlight w:val="none"/>
          <w:lang w:val="en-US" w:eastAsia="zh-CN"/>
        </w:rPr>
        <w:t>1670</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highlight w:val="none"/>
          <w:lang w:val="en-US" w:eastAsia="zh-CN"/>
        </w:rPr>
        <w:t>1670</w:t>
      </w:r>
      <w:r>
        <w:rPr>
          <w:rFonts w:hint="eastAsia" w:ascii="仿宋_GB2312" w:hAnsi="仿宋_GB2312" w:eastAsia="仿宋_GB2312" w:cs="仿宋_GB2312"/>
          <w:sz w:val="32"/>
          <w:szCs w:val="32"/>
        </w:rPr>
        <w:t>万元,，全年执行数</w:t>
      </w:r>
      <w:r>
        <w:rPr>
          <w:rFonts w:hint="eastAsia" w:ascii="仿宋_GB2312" w:hAnsi="仿宋_GB2312" w:eastAsia="仿宋_GB2312" w:cs="仿宋_GB2312"/>
          <w:sz w:val="32"/>
          <w:szCs w:val="32"/>
          <w:highlight w:val="none"/>
          <w:lang w:val="en-US" w:eastAsia="zh-CN"/>
        </w:rPr>
        <w:t>1670</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支付振安街南学校工程款</w:t>
      </w:r>
      <w:r>
        <w:rPr>
          <w:rFonts w:hint="eastAsia" w:ascii="仿宋_GB2312" w:hAnsi="仿宋_GB2312" w:eastAsia="仿宋_GB2312" w:cs="仿宋_GB2312"/>
          <w:sz w:val="32"/>
          <w:szCs w:val="32"/>
        </w:rPr>
        <w:t>。</w:t>
      </w:r>
    </w:p>
    <w:p w14:paraId="1350F7F7">
      <w:pPr>
        <w:spacing w:line="560" w:lineRule="exact"/>
        <w:ind w:firstLine="643" w:firstLineChars="200"/>
        <w:rPr>
          <w:rFonts w:eastAsia="楷体_GB2312"/>
          <w:b/>
          <w:bCs/>
          <w:sz w:val="32"/>
          <w:szCs w:val="32"/>
        </w:rPr>
      </w:pPr>
      <w:r>
        <w:rPr>
          <w:rFonts w:eastAsia="楷体_GB2312"/>
          <w:b/>
          <w:bCs/>
          <w:sz w:val="32"/>
          <w:szCs w:val="32"/>
        </w:rPr>
        <w:t>（二）项目绩效目标</w:t>
      </w:r>
    </w:p>
    <w:p w14:paraId="2F163A3B">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43F722F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续建建筑面积超2785平方米，确保施工质量，不超预算。</w:t>
      </w:r>
    </w:p>
    <w:p w14:paraId="0D71466E">
      <w:p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2.阶段性目标</w:t>
      </w:r>
    </w:p>
    <w:p w14:paraId="57A4555D">
      <w:pPr>
        <w:spacing w:line="560" w:lineRule="exact"/>
        <w:ind w:firstLine="640"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sz w:val="32"/>
          <w:szCs w:val="32"/>
        </w:rPr>
        <w:t>续建建筑面积超2785平方米，</w:t>
      </w:r>
      <w:r>
        <w:rPr>
          <w:rFonts w:hint="eastAsia" w:ascii="仿宋_GB2312" w:hAnsi="仿宋_GB2312" w:eastAsia="仿宋_GB2312" w:cs="仿宋_GB2312"/>
          <w:sz w:val="32"/>
          <w:szCs w:val="32"/>
          <w:lang w:val="en-US" w:eastAsia="zh-CN"/>
        </w:rPr>
        <w:t>工程验收合格，每平米造价小于等于6000元，提升义务教学办学条件</w:t>
      </w:r>
      <w:r>
        <w:rPr>
          <w:rFonts w:hint="eastAsia" w:ascii="仿宋_GB2312" w:hAnsi="仿宋_GB2312" w:eastAsia="仿宋_GB2312" w:cs="仿宋_GB2312"/>
          <w:sz w:val="32"/>
          <w:szCs w:val="32"/>
        </w:rPr>
        <w:t>。</w:t>
      </w:r>
    </w:p>
    <w:p w14:paraId="2B679732">
      <w:pPr>
        <w:spacing w:line="560" w:lineRule="exact"/>
        <w:ind w:firstLine="640" w:firstLineChars="200"/>
        <w:rPr>
          <w:rFonts w:eastAsia="黑体"/>
          <w:sz w:val="32"/>
          <w:szCs w:val="32"/>
        </w:rPr>
      </w:pPr>
      <w:r>
        <w:rPr>
          <w:rFonts w:eastAsia="黑体"/>
          <w:sz w:val="32"/>
          <w:szCs w:val="32"/>
        </w:rPr>
        <w:t>二、绩效评价工作开展情况</w:t>
      </w:r>
    </w:p>
    <w:p w14:paraId="1E7EF70D">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0DB8B96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3A335403">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E9813CA">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7041E7B6">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4D0C8B91">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474627F">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1C6FEF2C">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both"/>
        <w:textAlignment w:val="auto"/>
        <w:rPr>
          <w:rFonts w:ascii="仿宋_GB2312" w:hAnsi="仿宋_GB2312" w:eastAsia="仿宋_GB2312" w:cs="仿宋_GB2312"/>
          <w:sz w:val="32"/>
          <w:szCs w:val="32"/>
        </w:rPr>
      </w:pPr>
      <w:r>
        <w:rPr>
          <w:rFonts w:hint="eastAsia" w:ascii="Times New Roman" w:hAnsi="Times New Roman" w:eastAsia="仿宋_GB2312" w:cs="Times New Roman"/>
          <w:kern w:val="0"/>
          <w:sz w:val="32"/>
          <w:szCs w:val="32"/>
          <w:lang w:val="en-US" w:eastAsia="zh-CN" w:bidi="ar-SA"/>
        </w:rPr>
        <w:t>乌财科教[2023]164号关于提前下达2024年中央义务教育薄弱环节改善与能力提升补助资金预算的通知（振安街南学校）</w:t>
      </w:r>
      <w:r>
        <w:rPr>
          <w:rFonts w:hint="eastAsia" w:ascii="仿宋_GB2312" w:hAnsi="仿宋_GB2312" w:eastAsia="仿宋_GB2312" w:cs="仿宋_GB2312"/>
          <w:sz w:val="32"/>
          <w:szCs w:val="32"/>
        </w:rPr>
        <w:t>项目所包含的全部项目内容。</w:t>
      </w:r>
    </w:p>
    <w:p w14:paraId="679B88C2">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20D20AF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Times New Roman" w:hAnsi="Times New Roman" w:eastAsia="仿宋_GB2312" w:cs="Times New Roman"/>
          <w:kern w:val="0"/>
          <w:sz w:val="32"/>
          <w:szCs w:val="32"/>
          <w:lang w:val="en-US" w:eastAsia="zh-CN" w:bidi="ar-SA"/>
        </w:rPr>
        <w:t>乌财科教[2023]164号关于提前下达2024年中央义务教育薄弱环节改善与能力提升补助资金预算的通知（振安街南学校）</w:t>
      </w:r>
      <w:r>
        <w:rPr>
          <w:rFonts w:hint="eastAsia" w:eastAsia="仿宋_GB2312" w:cs="Times New Roman"/>
          <w:kern w:val="0"/>
          <w:sz w:val="32"/>
          <w:szCs w:val="32"/>
          <w:lang w:val="en-US" w:eastAsia="zh-CN" w:bidi="ar-SA"/>
        </w:rPr>
        <w:t>项目</w:t>
      </w:r>
      <w:r>
        <w:rPr>
          <w:rFonts w:hint="eastAsia" w:ascii="仿宋_GB2312" w:hAnsi="仿宋_GB2312" w:eastAsia="仿宋_GB2312" w:cs="仿宋_GB2312"/>
          <w:sz w:val="32"/>
          <w:szCs w:val="32"/>
        </w:rPr>
        <w:t>进行评价，评价核心为专项资金的支出完成情况和效果。</w:t>
      </w:r>
    </w:p>
    <w:p w14:paraId="164FB92C">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4EA8307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3C69B8BC">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5D3D3232">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09D7C4D5">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6520EDCF">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2D887381">
      <w:pPr>
        <w:pStyle w:val="8"/>
        <w:spacing w:before="0" w:after="0" w:line="560" w:lineRule="exact"/>
        <w:ind w:firstLine="640" w:firstLineChars="200"/>
        <w:jc w:val="both"/>
        <w:outlineLvl w:val="9"/>
      </w:pPr>
      <w:r>
        <w:rPr>
          <w:rFonts w:ascii="Times New Roman" w:hAnsi="Times New Roman" w:eastAsia="仿宋_GB2312"/>
          <w:b w:val="0"/>
          <w:bCs w:val="0"/>
        </w:rPr>
        <w:t>（4）公开透明。绩效评价结果应依法依规公开，并自觉接受社会监督。</w:t>
      </w:r>
    </w:p>
    <w:p w14:paraId="4AEBA92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1EDF03F3">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4720EBA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3833811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A9BF65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30B939A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BF55D5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621C969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0A5B94B9">
      <w:pPr>
        <w:pStyle w:val="8"/>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90203CA">
      <w:pPr>
        <w:pStyle w:val="8"/>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1804A806">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5C3F2A2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AFC4C2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002B4BF">
      <w:pPr>
        <w:spacing w:line="560" w:lineRule="exact"/>
        <w:ind w:firstLine="708" w:firstLineChars="200"/>
        <w:rPr>
          <w:rFonts w:eastAsia="仿宋_GB2312"/>
          <w:color w:val="000000"/>
          <w:spacing w:val="17"/>
          <w:sz w:val="32"/>
          <w:szCs w:val="32"/>
          <w:highlight w:val="none"/>
        </w:rPr>
      </w:pPr>
      <w:r>
        <w:rPr>
          <w:rFonts w:hint="eastAsia" w:eastAsia="仿宋_GB2312"/>
          <w:color w:val="000000"/>
          <w:spacing w:val="17"/>
          <w:sz w:val="32"/>
          <w:szCs w:val="32"/>
          <w:highlight w:val="none"/>
          <w:lang w:eastAsia="zh-CN"/>
        </w:rPr>
        <w:t>（</w:t>
      </w:r>
      <w:r>
        <w:rPr>
          <w:rFonts w:hint="eastAsia" w:eastAsia="仿宋_GB2312"/>
          <w:color w:val="000000"/>
          <w:spacing w:val="17"/>
          <w:sz w:val="32"/>
          <w:szCs w:val="32"/>
          <w:highlight w:val="none"/>
          <w:lang w:val="en-US" w:eastAsia="zh-CN"/>
        </w:rPr>
        <w:t>1</w:t>
      </w:r>
      <w:r>
        <w:rPr>
          <w:rFonts w:hint="eastAsia" w:eastAsia="仿宋_GB2312"/>
          <w:color w:val="000000"/>
          <w:spacing w:val="17"/>
          <w:sz w:val="32"/>
          <w:szCs w:val="32"/>
          <w:highlight w:val="none"/>
          <w:lang w:eastAsia="zh-CN"/>
        </w:rPr>
        <w:t>）</w:t>
      </w:r>
      <w:r>
        <w:rPr>
          <w:rFonts w:eastAsia="仿宋_GB2312"/>
          <w:color w:val="000000"/>
          <w:spacing w:val="17"/>
          <w:sz w:val="32"/>
          <w:szCs w:val="32"/>
          <w:highlight w:val="none"/>
        </w:rPr>
        <w:t>因素分析法</w:t>
      </w:r>
    </w:p>
    <w:p w14:paraId="105CC3E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341A3BC6">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6A96C33D">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rPr>
        <w:t>绩效评价标准通常包括计划标准、行业标准、历史标准等，用于对</w:t>
      </w:r>
      <w:r>
        <w:rPr>
          <w:rFonts w:hint="eastAsia" w:eastAsia="方正仿宋_GBK" w:cs="方正仿宋_GBK"/>
          <w:sz w:val="32"/>
          <w:szCs w:val="32"/>
          <w:highlight w:val="none"/>
        </w:rPr>
        <w:t>绩效指标完成情况进行比较、分析、评价。本次评价主要采用了</w:t>
      </w:r>
      <w:r>
        <w:rPr>
          <w:rFonts w:hint="eastAsia" w:eastAsia="方正仿宋_GBK" w:cs="方正仿宋_GBK"/>
          <w:sz w:val="32"/>
          <w:szCs w:val="32"/>
          <w:highlight w:val="none"/>
          <w:lang w:eastAsia="zh-CN"/>
        </w:rPr>
        <w:t>计划</w:t>
      </w:r>
      <w:r>
        <w:rPr>
          <w:rFonts w:hint="eastAsia" w:eastAsia="方正仿宋_GBK" w:cs="方正仿宋_GBK"/>
          <w:sz w:val="32"/>
          <w:szCs w:val="32"/>
          <w:highlight w:val="none"/>
        </w:rPr>
        <w:t>标准。</w:t>
      </w:r>
    </w:p>
    <w:p w14:paraId="39E183F4">
      <w:pPr>
        <w:spacing w:line="560" w:lineRule="exact"/>
        <w:ind w:firstLine="640"/>
        <w:rPr>
          <w:rFonts w:eastAsia="方正仿宋_GBK" w:cs="方正仿宋_GBK"/>
          <w:sz w:val="32"/>
          <w:szCs w:val="32"/>
          <w:highlight w:val="none"/>
        </w:rPr>
      </w:pPr>
      <w:bookmarkStart w:id="0" w:name="_Toc31464"/>
      <w:bookmarkStart w:id="1" w:name="_Toc17882"/>
      <w:r>
        <w:rPr>
          <w:rFonts w:hint="eastAsia" w:eastAsia="方正仿宋_GBK" w:cs="方正仿宋_GBK"/>
          <w:b/>
          <w:bCs/>
          <w:sz w:val="32"/>
          <w:szCs w:val="32"/>
          <w:highlight w:val="none"/>
        </w:rPr>
        <w:t>计划标准：</w:t>
      </w:r>
      <w:r>
        <w:rPr>
          <w:rFonts w:hint="eastAsia" w:eastAsia="方正仿宋_GBK" w:cs="方正仿宋_GBK"/>
          <w:sz w:val="32"/>
          <w:szCs w:val="32"/>
          <w:highlight w:val="none"/>
        </w:rPr>
        <w:t>指以预先制定的目标、计划、预算、定额等作为评价标准。</w:t>
      </w:r>
      <w:bookmarkEnd w:id="0"/>
      <w:bookmarkEnd w:id="1"/>
    </w:p>
    <w:p w14:paraId="595D1566">
      <w:pPr>
        <w:pStyle w:val="8"/>
        <w:numPr>
          <w:ilvl w:val="0"/>
          <w:numId w:val="2"/>
        </w:numPr>
        <w:spacing w:before="0" w:after="0" w:line="560" w:lineRule="exact"/>
        <w:ind w:firstLine="711" w:firstLineChars="200"/>
        <w:jc w:val="both"/>
        <w:rPr>
          <w:rFonts w:ascii="楷体" w:hAnsi="楷体" w:eastAsia="楷体" w:cs="楷体"/>
          <w:color w:val="000000"/>
          <w:spacing w:val="17"/>
          <w:highlight w:val="none"/>
        </w:rPr>
      </w:pPr>
      <w:r>
        <w:rPr>
          <w:rFonts w:hint="eastAsia" w:ascii="楷体" w:hAnsi="楷体" w:eastAsia="楷体" w:cs="楷体"/>
          <w:color w:val="000000"/>
          <w:spacing w:val="17"/>
          <w:highlight w:val="none"/>
        </w:rPr>
        <w:t>绩效评价工作过程</w:t>
      </w:r>
    </w:p>
    <w:p w14:paraId="6A4BA93B">
      <w:pPr>
        <w:spacing w:line="560" w:lineRule="exact"/>
        <w:ind w:firstLine="643" w:firstLineChars="200"/>
        <w:rPr>
          <w:rFonts w:hint="eastAsia" w:eastAsia="仿宋_GB2312"/>
          <w:bCs/>
          <w:sz w:val="32"/>
          <w:szCs w:val="32"/>
          <w:highlight w:val="none"/>
          <w:lang w:eastAsia="zh-CN"/>
        </w:rPr>
      </w:pPr>
      <w:r>
        <w:rPr>
          <w:rFonts w:hint="eastAsia" w:ascii="仿宋_GB2312" w:hAnsi="仿宋_GB2312" w:eastAsia="仿宋_GB2312" w:cs="仿宋_GB2312"/>
          <w:b/>
          <w:bCs/>
          <w:sz w:val="32"/>
          <w:szCs w:val="32"/>
          <w:highlight w:val="none"/>
        </w:rPr>
        <w:t>1.前期准备。</w:t>
      </w:r>
      <w:r>
        <w:rPr>
          <w:rFonts w:hint="eastAsia" w:eastAsia="仿宋_GB2312"/>
          <w:bCs/>
          <w:sz w:val="32"/>
          <w:szCs w:val="32"/>
          <w:highlight w:val="none"/>
        </w:rPr>
        <w:t>首先成立评价工作组</w:t>
      </w:r>
      <w:r>
        <w:rPr>
          <w:rFonts w:hint="eastAsia" w:eastAsia="仿宋_GB2312"/>
          <w:bCs/>
          <w:sz w:val="32"/>
          <w:szCs w:val="32"/>
          <w:highlight w:val="none"/>
          <w:lang w:eastAsia="zh-CN"/>
        </w:rPr>
        <w:t>：</w:t>
      </w:r>
    </w:p>
    <w:p w14:paraId="38730BE2">
      <w:pPr>
        <w:spacing w:line="560" w:lineRule="exact"/>
        <w:ind w:firstLine="640"/>
        <w:rPr>
          <w:rFonts w:hint="default" w:eastAsia="方正仿宋_GBK" w:cs="方正仿宋_GBK"/>
          <w:sz w:val="32"/>
          <w:szCs w:val="32"/>
          <w:highlight w:val="none"/>
          <w:lang w:val="en-US" w:eastAsia="zh-CN"/>
        </w:rPr>
      </w:pPr>
      <w:r>
        <w:rPr>
          <w:rFonts w:hint="eastAsia" w:eastAsia="方正仿宋_GBK" w:cs="方正仿宋_GBK"/>
          <w:sz w:val="32"/>
          <w:szCs w:val="32"/>
          <w:highlight w:val="none"/>
          <w:lang w:val="en-US" w:eastAsia="zh-CN"/>
        </w:rPr>
        <w:t>组长：倪芳（教育局党委书记）、杨昌盛（教育局局长）</w:t>
      </w:r>
    </w:p>
    <w:p w14:paraId="4CC42CB7">
      <w:pPr>
        <w:spacing w:line="560" w:lineRule="exact"/>
        <w:ind w:firstLine="640"/>
        <w:rPr>
          <w:rFonts w:hint="default" w:eastAsia="方正仿宋_GBK" w:cs="方正仿宋_GBK"/>
          <w:sz w:val="32"/>
          <w:szCs w:val="32"/>
          <w:highlight w:val="none"/>
          <w:lang w:val="en-US" w:eastAsia="zh-CN"/>
        </w:rPr>
      </w:pPr>
      <w:r>
        <w:rPr>
          <w:rFonts w:hint="eastAsia" w:eastAsia="方正仿宋_GBK" w:cs="方正仿宋_GBK"/>
          <w:sz w:val="32"/>
          <w:szCs w:val="32"/>
          <w:highlight w:val="none"/>
          <w:lang w:val="en-US" w:eastAsia="zh-CN"/>
        </w:rPr>
        <w:t>组员：张峰（教育局副局长）、戴恒山（综合服务中心主任）、庞晓婷（核算中心主任）</w:t>
      </w:r>
    </w:p>
    <w:p w14:paraId="1D6D4358">
      <w:pPr>
        <w:spacing w:line="560" w:lineRule="exact"/>
        <w:ind w:firstLine="640"/>
        <w:rPr>
          <w:rFonts w:hint="eastAsia" w:eastAsia="方正仿宋_GBK" w:cs="方正仿宋_GBK"/>
          <w:sz w:val="32"/>
          <w:szCs w:val="32"/>
          <w:highlight w:val="none"/>
        </w:rPr>
      </w:pPr>
      <w:r>
        <w:rPr>
          <w:rFonts w:hint="eastAsia" w:eastAsia="方正仿宋_GBK" w:cs="方正仿宋_GBK"/>
          <w:sz w:val="32"/>
          <w:szCs w:val="32"/>
          <w:highlight w:val="none"/>
        </w:rPr>
        <w:t>开展前期调研；其次明确项目绩效目标，设计绩效评价指标体系并确定绩效评价方法；接着确定现场和非现场评价范围，设计资料清单；最后制定评价实施方案并进行论证。</w:t>
      </w:r>
    </w:p>
    <w:p w14:paraId="2F4D8345">
      <w:pPr>
        <w:spacing w:line="560" w:lineRule="exact"/>
        <w:ind w:firstLine="643" w:firstLineChars="200"/>
        <w:rPr>
          <w:rFonts w:hint="eastAsia" w:eastAsia="方正仿宋_GBK" w:cs="方正仿宋_GBK"/>
          <w:sz w:val="32"/>
          <w:szCs w:val="32"/>
          <w:highlight w:val="none"/>
          <w:lang w:val="en-US" w:eastAsia="zh-CN"/>
        </w:rPr>
      </w:pPr>
      <w:r>
        <w:rPr>
          <w:rFonts w:hint="eastAsia" w:ascii="仿宋_GB2312" w:hAnsi="仿宋_GB2312" w:eastAsia="仿宋_GB2312" w:cs="仿宋_GB2312"/>
          <w:b/>
          <w:bCs/>
          <w:sz w:val="32"/>
          <w:szCs w:val="32"/>
        </w:rPr>
        <w:t>2.组织实施。</w:t>
      </w:r>
      <w:r>
        <w:rPr>
          <w:rFonts w:hint="eastAsia" w:eastAsia="方正仿宋_GBK" w:cs="方正仿宋_GBK"/>
          <w:sz w:val="32"/>
          <w:szCs w:val="32"/>
          <w:highlight w:val="none"/>
          <w:lang w:val="en-US" w:eastAsia="zh-CN"/>
        </w:rPr>
        <w:t>制定绩效评价工作方案，具体包括项目概况、评价思路、方法手段、组织实施、进度安排等。收集项目立项依据、相关会议纪要、实施方案、财政资金分配方案、支付管理情况等相关评价资料并进行梳理。</w:t>
      </w:r>
    </w:p>
    <w:p w14:paraId="0ADA12AF">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6734F900">
      <w:pPr>
        <w:numPr>
          <w:ilvl w:val="0"/>
          <w:numId w:val="3"/>
        </w:numPr>
        <w:spacing w:line="560" w:lineRule="exact"/>
        <w:ind w:firstLine="640" w:firstLineChars="200"/>
        <w:rPr>
          <w:rFonts w:eastAsia="黑体"/>
          <w:sz w:val="32"/>
          <w:szCs w:val="32"/>
        </w:rPr>
      </w:pPr>
      <w:r>
        <w:rPr>
          <w:rFonts w:eastAsia="黑体"/>
          <w:sz w:val="32"/>
          <w:szCs w:val="32"/>
        </w:rPr>
        <w:t>综合评价情况及评价结论</w:t>
      </w:r>
    </w:p>
    <w:p w14:paraId="14A5D4DD">
      <w:pPr>
        <w:pStyle w:val="8"/>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4514A121">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6F36C71">
      <w:pPr>
        <w:pStyle w:val="8"/>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3CA1FABC">
      <w:pPr>
        <w:pStyle w:val="8"/>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hint="eastAsia" w:ascii="Times New Roman" w:hAnsi="Times New Roman" w:eastAsia="仿宋_GB2312"/>
          <w:b w:val="0"/>
          <w:bCs w:val="0"/>
        </w:rPr>
        <w:t>运用</w:t>
      </w:r>
      <w:r>
        <w:rPr>
          <w:rFonts w:hint="eastAsia" w:ascii="Times New Roman" w:hAnsi="Times New Roman" w:eastAsia="仿宋_GB2312"/>
          <w:b w:val="0"/>
          <w:bCs w:val="0"/>
          <w:highlight w:val="none"/>
        </w:rPr>
        <w:t>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w:t>
      </w:r>
      <w:r>
        <w:rPr>
          <w:rFonts w:hint="eastAsia" w:ascii="Times New Roman" w:hAnsi="Times New Roman" w:eastAsia="仿宋_GB2312"/>
          <w:b w:val="0"/>
          <w:bCs w:val="0"/>
          <w:highlight w:val="none"/>
          <w:lang w:val="en-US" w:eastAsia="zh-CN"/>
        </w:rPr>
        <w:t>表</w:t>
      </w:r>
      <w:r>
        <w:rPr>
          <w:rFonts w:hint="eastAsia" w:ascii="Times New Roman" w:hAnsi="Times New Roman" w:eastAsia="仿宋_GB2312"/>
          <w:b w:val="0"/>
          <w:bCs w:val="0"/>
          <w:highlight w:val="none"/>
        </w:rPr>
        <w:t>1</w:t>
      </w:r>
      <w:r>
        <w:rPr>
          <w:rFonts w:hint="eastAsia" w:ascii="Times New Roman" w:hAnsi="Times New Roman" w:eastAsia="仿宋_GB2312"/>
          <w:b w:val="0"/>
          <w:bCs w:val="0"/>
          <w:highlight w:val="none"/>
          <w:lang w:val="en-US" w:eastAsia="zh-CN"/>
        </w:rPr>
        <w:t>.</w:t>
      </w:r>
      <w:r>
        <w:rPr>
          <w:rFonts w:hint="eastAsia" w:ascii="Times New Roman" w:hAnsi="Times New Roman" w:eastAsia="仿宋_GB2312"/>
          <w:b w:val="0"/>
          <w:bCs w:val="0"/>
          <w:highlight w:val="none"/>
        </w:rPr>
        <w:t>综合评分表。</w:t>
      </w:r>
    </w:p>
    <w:p w14:paraId="45899EEA">
      <w:pPr>
        <w:pStyle w:val="8"/>
        <w:spacing w:before="0" w:after="0"/>
        <w:rPr>
          <w:rFonts w:ascii="Times New Roman" w:hAnsi="Times New Roman" w:eastAsia="仿宋_GB2312"/>
          <w:sz w:val="30"/>
          <w:szCs w:val="30"/>
          <w:highlight w:val="none"/>
        </w:rPr>
      </w:pPr>
      <w:r>
        <w:rPr>
          <w:rFonts w:ascii="Times New Roman" w:hAnsi="Times New Roman" w:eastAsia="仿宋_GB2312"/>
          <w:sz w:val="30"/>
          <w:szCs w:val="30"/>
          <w:highlight w:val="none"/>
        </w:rPr>
        <w:t>表1</w:t>
      </w:r>
      <w:r>
        <w:rPr>
          <w:rFonts w:hint="eastAsia" w:ascii="Times New Roman" w:hAnsi="Times New Roman" w:eastAsia="仿宋_GB2312"/>
          <w:sz w:val="30"/>
          <w:szCs w:val="30"/>
          <w:highlight w:val="none"/>
          <w:lang w:val="en-US" w:eastAsia="zh-CN"/>
        </w:rPr>
        <w:t>.</w:t>
      </w:r>
      <w:r>
        <w:rPr>
          <w:rFonts w:ascii="Times New Roman" w:hAnsi="Times New Roman" w:eastAsia="仿宋_GB2312"/>
          <w:sz w:val="30"/>
          <w:szCs w:val="30"/>
          <w:highlight w:val="none"/>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42CDDCD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632F7BFB">
            <w:pPr>
              <w:jc w:val="center"/>
              <w:rPr>
                <w:b/>
                <w:bCs/>
                <w:color w:val="000000"/>
                <w:sz w:val="22"/>
                <w:highlight w:val="none"/>
              </w:rPr>
            </w:pPr>
            <w:r>
              <w:rPr>
                <w:rFonts w:hint="eastAsia"/>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04012CE0">
            <w:pPr>
              <w:jc w:val="center"/>
              <w:rPr>
                <w:b/>
                <w:bCs/>
                <w:color w:val="000000"/>
                <w:sz w:val="22"/>
                <w:highlight w:val="none"/>
              </w:rPr>
            </w:pPr>
            <w:r>
              <w:rPr>
                <w:rFonts w:hint="eastAsia"/>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5C9E3A5">
            <w:pPr>
              <w:jc w:val="center"/>
              <w:rPr>
                <w:b/>
                <w:bCs/>
                <w:color w:val="000000"/>
                <w:sz w:val="22"/>
                <w:highlight w:val="none"/>
              </w:rPr>
            </w:pPr>
            <w:r>
              <w:rPr>
                <w:rFonts w:hint="eastAsia"/>
                <w:b/>
                <w:bCs/>
                <w:color w:val="000000"/>
                <w:sz w:val="22"/>
                <w:highlight w:val="none"/>
              </w:rPr>
              <w:t>得分</w:t>
            </w:r>
          </w:p>
        </w:tc>
      </w:tr>
      <w:tr w14:paraId="2C06138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43A3F3">
            <w:pPr>
              <w:jc w:val="center"/>
              <w:rPr>
                <w:color w:val="000000"/>
                <w:sz w:val="22"/>
                <w:highlight w:val="none"/>
              </w:rPr>
            </w:pPr>
            <w:r>
              <w:rPr>
                <w:rFonts w:hint="eastAsia"/>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0816A810">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34C5A0B5">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08724994">
        <w:tblPrEx>
          <w:tblCellMar>
            <w:top w:w="0" w:type="dxa"/>
            <w:left w:w="108" w:type="dxa"/>
            <w:bottom w:w="0" w:type="dxa"/>
            <w:right w:w="108" w:type="dxa"/>
          </w:tblCellMar>
        </w:tblPrEx>
        <w:trPr>
          <w:trHeight w:val="9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6402E46">
            <w:pPr>
              <w:jc w:val="center"/>
              <w:rPr>
                <w:color w:val="000000"/>
                <w:sz w:val="22"/>
                <w:highlight w:val="none"/>
              </w:rPr>
            </w:pPr>
            <w:r>
              <w:rPr>
                <w:rFonts w:hint="eastAsia"/>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523C4756">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55468189">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7CB6EAD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06FA3EE">
            <w:pPr>
              <w:jc w:val="center"/>
              <w:rPr>
                <w:color w:val="000000"/>
                <w:sz w:val="22"/>
                <w:highlight w:val="none"/>
              </w:rPr>
            </w:pPr>
            <w:r>
              <w:rPr>
                <w:rFonts w:hint="eastAsia"/>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661CF4F8">
            <w:pPr>
              <w:jc w:val="center"/>
              <w:rPr>
                <w:color w:val="000000"/>
                <w:sz w:val="22"/>
                <w:highlight w:val="none"/>
              </w:rPr>
            </w:pPr>
            <w:r>
              <w:rPr>
                <w:rFonts w:hint="eastAsia"/>
                <w:color w:val="000000"/>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14:paraId="6A5F8046">
            <w:pPr>
              <w:jc w:val="center"/>
              <w:rPr>
                <w:rFonts w:hint="default" w:eastAsia="宋体"/>
                <w:color w:val="000000"/>
                <w:sz w:val="22"/>
                <w:highlight w:val="none"/>
                <w:lang w:val="en-US" w:eastAsia="zh-CN"/>
              </w:rPr>
            </w:pPr>
            <w:r>
              <w:rPr>
                <w:rFonts w:hint="eastAsia"/>
                <w:color w:val="000000"/>
                <w:sz w:val="22"/>
                <w:highlight w:val="none"/>
                <w:lang w:val="en-US" w:eastAsia="zh-CN"/>
              </w:rPr>
              <w:t>40</w:t>
            </w:r>
          </w:p>
        </w:tc>
      </w:tr>
      <w:tr w14:paraId="230C323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6761BB">
            <w:pPr>
              <w:jc w:val="center"/>
              <w:rPr>
                <w:color w:val="000000"/>
                <w:sz w:val="22"/>
                <w:highlight w:val="none"/>
              </w:rPr>
            </w:pPr>
            <w:r>
              <w:rPr>
                <w:rFonts w:hint="eastAsia"/>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4310B3C3">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4E30AF1E">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66556B2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0B0782">
            <w:pPr>
              <w:jc w:val="center"/>
              <w:rPr>
                <w:rFonts w:cs="宋体"/>
                <w:b/>
                <w:bCs/>
                <w:color w:val="000000"/>
                <w:sz w:val="22"/>
                <w:highlight w:val="none"/>
              </w:rPr>
            </w:pPr>
            <w:r>
              <w:rPr>
                <w:rFonts w:hint="eastAsia" w:cs="宋体"/>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0B2308BF">
            <w:pPr>
              <w:jc w:val="center"/>
              <w:rPr>
                <w:b/>
                <w:bCs/>
                <w:color w:val="000000"/>
                <w:sz w:val="22"/>
                <w:highlight w:val="none"/>
              </w:rPr>
            </w:pPr>
            <w:r>
              <w:rPr>
                <w:rFonts w:hint="eastAsia"/>
                <w:b/>
                <w:bCs/>
                <w:color w:val="000000"/>
                <w:sz w:val="22"/>
                <w:highlight w:val="none"/>
              </w:rPr>
              <w:t>100</w:t>
            </w:r>
          </w:p>
        </w:tc>
        <w:tc>
          <w:tcPr>
            <w:tcW w:w="2278" w:type="dxa"/>
            <w:tcBorders>
              <w:top w:val="nil"/>
              <w:left w:val="nil"/>
              <w:bottom w:val="single" w:color="auto" w:sz="4" w:space="0"/>
              <w:right w:val="single" w:color="auto" w:sz="4" w:space="0"/>
            </w:tcBorders>
            <w:shd w:val="clear" w:color="auto" w:fill="auto"/>
            <w:vAlign w:val="center"/>
          </w:tcPr>
          <w:p w14:paraId="7BD806D0">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100</w:t>
            </w:r>
          </w:p>
        </w:tc>
      </w:tr>
    </w:tbl>
    <w:p w14:paraId="68C5479F">
      <w:pPr>
        <w:spacing w:line="560" w:lineRule="exact"/>
        <w:ind w:firstLine="640" w:firstLineChars="200"/>
        <w:rPr>
          <w:rFonts w:eastAsia="黑体"/>
          <w:sz w:val="32"/>
          <w:szCs w:val="32"/>
          <w:highlight w:val="none"/>
        </w:rPr>
      </w:pPr>
      <w:r>
        <w:rPr>
          <w:rFonts w:eastAsia="黑体"/>
          <w:sz w:val="32"/>
          <w:szCs w:val="32"/>
          <w:highlight w:val="none"/>
        </w:rPr>
        <w:t>四、绩效评价指标分析</w:t>
      </w:r>
    </w:p>
    <w:p w14:paraId="0284C0FA">
      <w:pPr>
        <w:pStyle w:val="8"/>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2006BB74">
      <w:pPr>
        <w:spacing w:line="600" w:lineRule="exact"/>
        <w:ind w:firstLine="600" w:firstLineChars="200"/>
        <w:outlineLvl w:val="0"/>
        <w:rPr>
          <w:rFonts w:ascii="仿宋_GB2312" w:hAnsi="仿宋_GB2312" w:eastAsia="仿宋_GB2312" w:cs="仿宋_GB2312"/>
          <w:sz w:val="30"/>
          <w:szCs w:val="30"/>
          <w:highlight w:val="yellow"/>
        </w:rPr>
      </w:pPr>
      <w:r>
        <w:rPr>
          <w:rFonts w:hint="eastAsia" w:ascii="仿宋_GB2312" w:hAnsi="仿宋_GB2312" w:eastAsia="仿宋_GB2312" w:cs="仿宋_GB2312"/>
          <w:sz w:val="30"/>
          <w:szCs w:val="30"/>
        </w:rPr>
        <w:t>项目决策类指标包括项目立项、绩效目标和资金投入三方面</w:t>
      </w:r>
      <w:r>
        <w:rPr>
          <w:rFonts w:hint="eastAsia" w:ascii="仿宋_GB2312" w:hAnsi="仿宋_GB2312" w:eastAsia="仿宋_GB2312" w:cs="仿宋_GB2312"/>
          <w:sz w:val="30"/>
          <w:szCs w:val="30"/>
          <w:highlight w:val="none"/>
        </w:rPr>
        <w:t>的内容，由6个三级指标构成，权重分值为20分，实际得分</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分，得分率为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w:t>
      </w:r>
    </w:p>
    <w:p w14:paraId="08A568A8">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040CE33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3F44AC4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813802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3029C68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58542C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70ECE07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77E5F27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554FFA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50D6765D">
      <w:pPr>
        <w:spacing w:line="600" w:lineRule="exact"/>
        <w:ind w:firstLine="640" w:firstLineChars="200"/>
        <w:outlineLvl w:val="0"/>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588B1C0A">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4F427AD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237E717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15F226D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60DA6D8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60D45E96">
      <w:pPr>
        <w:pStyle w:val="8"/>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7AC02ED2">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项目过程类指标包括资金管理和组织实施两方面的内容，由5个三级指标构成，权重分值为20分，实际得分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4119C5D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E4E588C">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35E6776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0150CBA2">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本项目总投资</w:t>
      </w:r>
      <w:r>
        <w:rPr>
          <w:rFonts w:hint="eastAsia" w:ascii="仿宋_GB2312" w:hAnsi="仿宋_GB2312" w:eastAsia="仿宋_GB2312" w:cs="仿宋_GB2312"/>
          <w:sz w:val="32"/>
          <w:szCs w:val="32"/>
          <w:highlight w:val="none"/>
          <w:lang w:val="en-US" w:eastAsia="zh-CN"/>
        </w:rPr>
        <w:t>1670</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%，预算资金按计划进度执行。</w:t>
      </w:r>
    </w:p>
    <w:p w14:paraId="0C06B776">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10F54A45">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eastAsia="仿宋_GB2312" w:cs="仿宋_GB2312"/>
          <w:sz w:val="32"/>
          <w:szCs w:val="32"/>
          <w:highlight w:val="none"/>
          <w:lang w:val="en-US" w:eastAsia="zh-CN"/>
        </w:rPr>
        <w:t>1670</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3A99EAD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0BCC303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04345BF">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700B611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076E6E4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B7F367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706356D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51B2FA35">
      <w:pPr>
        <w:pStyle w:val="9"/>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2472EE6A">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项目产出类指标包括产出数量、产出质量、产出时效、产出成本四方面的内容，由</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个三级指标构成，权重分为40分，实际得分</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%。具体产出指标完成情况如下：</w:t>
      </w:r>
    </w:p>
    <w:p w14:paraId="7154ED7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0AF9B89E">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指标1：续建学校数量，指标值：1所，实际完成值：1所，指标完成率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14:paraId="1B0199D5">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指标2：续建项目面积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大于等于2783平方米</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3413平方米</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14:paraId="0D640D9B">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14:paraId="0B17504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指标1：工程验收合格率，指标值：</w:t>
      </w:r>
      <w:r>
        <w:rPr>
          <w:rFonts w:hint="eastAsia" w:ascii="仿宋_GB2312" w:hAnsi="仿宋_GB2312" w:eastAsia="仿宋_GB2312" w:cs="仿宋_GB2312"/>
          <w:sz w:val="32"/>
          <w:szCs w:val="32"/>
          <w:lang w:val="en-US" w:eastAsia="zh-CN"/>
        </w:rPr>
        <w:t>等于100%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140F07F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0DBECFB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指标1：校舍建设年度计划完成率，指标值：</w:t>
      </w:r>
      <w:r>
        <w:rPr>
          <w:rFonts w:hint="eastAsia" w:ascii="仿宋_GB2312" w:hAnsi="仿宋_GB2312" w:eastAsia="仿宋_GB2312" w:cs="仿宋_GB2312"/>
          <w:sz w:val="32"/>
          <w:szCs w:val="32"/>
          <w:lang w:val="en-US" w:eastAsia="zh-CN"/>
        </w:rPr>
        <w:t>大于等于90%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4EC1D9E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49CB83F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指标1：经济成本指标，指标值：</w:t>
      </w:r>
      <w:r>
        <w:rPr>
          <w:rFonts w:hint="eastAsia" w:ascii="仿宋_GB2312" w:hAnsi="仿宋_GB2312" w:eastAsia="仿宋_GB2312" w:cs="仿宋_GB2312"/>
          <w:sz w:val="32"/>
          <w:szCs w:val="32"/>
          <w:lang w:val="en-US" w:eastAsia="zh-CN"/>
        </w:rPr>
        <w:t>小于等于6000元</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4893元</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，偏差原因：</w:t>
      </w:r>
      <w:r>
        <w:rPr>
          <w:rFonts w:hint="eastAsia" w:ascii="仿宋_GB2312" w:hAnsi="仿宋_GB2312" w:eastAsia="仿宋_GB2312" w:cs="仿宋_GB2312"/>
          <w:sz w:val="32"/>
          <w:szCs w:val="32"/>
        </w:rPr>
        <w:t>根据中标价14167.55万元，工程量28956平方米，每平米造价4893元，无超支情况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成本节约完成率100%</w:t>
      </w:r>
      <w:r>
        <w:rPr>
          <w:rFonts w:hint="eastAsia" w:ascii="仿宋_GB2312" w:hAnsi="仿宋_GB2312" w:eastAsia="仿宋_GB2312" w:cs="仿宋_GB2312"/>
          <w:sz w:val="32"/>
          <w:szCs w:val="32"/>
        </w:rPr>
        <w:t>。</w:t>
      </w:r>
    </w:p>
    <w:p w14:paraId="0213ADDF">
      <w:pPr>
        <w:pStyle w:val="9"/>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67BBFE0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项目效益类指标包括项目实施效益和满意度两方面的内容，</w:t>
      </w:r>
      <w:r>
        <w:rPr>
          <w:rFonts w:hint="eastAsia" w:ascii="仿宋_GB2312" w:hAnsi="仿宋_GB2312" w:eastAsia="仿宋_GB2312" w:cs="仿宋_GB2312"/>
          <w:sz w:val="32"/>
          <w:szCs w:val="32"/>
          <w:highlight w:val="none"/>
        </w:rPr>
        <w:t>由</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个三</w:t>
      </w:r>
      <w:r>
        <w:rPr>
          <w:rFonts w:hint="eastAsia" w:ascii="仿宋_GB2312" w:hAnsi="仿宋_GB2312" w:eastAsia="仿宋_GB2312" w:cs="仿宋_GB2312"/>
          <w:sz w:val="32"/>
          <w:szCs w:val="32"/>
        </w:rPr>
        <w:t>级指标构成，权重分为20分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%。具体效益指标及满意度指标完成情况如下：</w:t>
      </w:r>
    </w:p>
    <w:p w14:paraId="51A89B15">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61DBE72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社会效益指标：</w:t>
      </w:r>
    </w:p>
    <w:p w14:paraId="5C83016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指标1：有效提升义务教育阶段学校办学条件，指标值：</w:t>
      </w:r>
      <w:r>
        <w:rPr>
          <w:rFonts w:hint="eastAsia" w:ascii="仿宋_GB2312" w:hAnsi="仿宋_GB2312" w:eastAsia="仿宋_GB2312" w:cs="仿宋_GB2312"/>
          <w:sz w:val="32"/>
          <w:szCs w:val="32"/>
          <w:lang w:val="en-US" w:eastAsia="zh-CN"/>
        </w:rPr>
        <w:t>有效提升</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完全达到预期</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5C106896">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1035FCB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14:paraId="5390E19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指标1：享受教育资源家长满意度，指标值：</w:t>
      </w:r>
      <w:r>
        <w:rPr>
          <w:rFonts w:hint="eastAsia" w:ascii="仿宋_GB2312" w:hAnsi="仿宋_GB2312" w:eastAsia="仿宋_GB2312" w:cs="仿宋_GB2312"/>
          <w:sz w:val="32"/>
          <w:szCs w:val="32"/>
          <w:lang w:val="en-US" w:eastAsia="zh-CN"/>
        </w:rPr>
        <w:t>大于等于90%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111.11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，偏差原因：</w:t>
      </w:r>
      <w:r>
        <w:rPr>
          <w:rFonts w:hint="eastAsia" w:ascii="仿宋_GB2312" w:hAnsi="仿宋_GB2312" w:eastAsia="仿宋_GB2312" w:cs="仿宋_GB2312"/>
          <w:sz w:val="32"/>
          <w:szCs w:val="32"/>
        </w:rPr>
        <w:t>根据满意度调查问卷，满意度100%。</w:t>
      </w:r>
    </w:p>
    <w:p w14:paraId="4712DF66">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0CA30F42">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567F8067">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073BD50">
      <w:pPr>
        <w:pStyle w:val="8"/>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5DB1E76">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1E7985C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lang w:val="en-US" w:eastAsia="zh-CN"/>
        </w:rPr>
        <w:t>由于部分人员</w:t>
      </w:r>
      <w:r>
        <w:rPr>
          <w:rFonts w:hint="eastAsia" w:ascii="仿宋_GB2312" w:hAnsi="仿宋_GB2312" w:eastAsia="仿宋_GB2312" w:cs="仿宋_GB2312"/>
          <w:sz w:val="32"/>
          <w:szCs w:val="32"/>
        </w:rPr>
        <w:t>缺乏相关绩效管理专业知识，自评价工作还存在自我审定的局限性，影响评价质量。</w:t>
      </w:r>
    </w:p>
    <w:p w14:paraId="7F3EAD0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14:paraId="6059185B">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0A721A7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14:paraId="13261C5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6796F58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B635558">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61EB7F5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bookmarkStart w:id="3" w:name="_GoBack"/>
      <w:bookmarkEnd w:id="3"/>
    </w:p>
    <w:p w14:paraId="1C637C01">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43E70A9D">
      <w:pPr>
        <w:pStyle w:val="10"/>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14:paraId="1BE51282"/>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11F370-DA1E-4527-AE34-96DC786A44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C5A3F10-C2FA-4A20-8960-4631E45EEA47}"/>
  </w:font>
  <w:font w:name="华文中宋">
    <w:panose1 w:val="02010600040101010101"/>
    <w:charset w:val="86"/>
    <w:family w:val="auto"/>
    <w:pitch w:val="default"/>
    <w:sig w:usb0="00000287" w:usb1="080F0000" w:usb2="00000000" w:usb3="00000000" w:csb0="0004009F" w:csb1="DFD70000"/>
    <w:embedRegular r:id="rId3" w:fontKey="{AB9EB1AD-BF04-43F9-B31C-DEA9D9D2252A}"/>
  </w:font>
  <w:font w:name="方正小标宋_GBK">
    <w:panose1 w:val="02000000000000000000"/>
    <w:charset w:val="86"/>
    <w:family w:val="script"/>
    <w:pitch w:val="default"/>
    <w:sig w:usb0="A00002BF" w:usb1="38CF7CFA" w:usb2="00082016" w:usb3="00000000" w:csb0="00040001" w:csb1="00000000"/>
    <w:embedRegular r:id="rId4" w:fontKey="{6EAC2D0B-BE71-4A74-A204-49D4ECD7929D}"/>
  </w:font>
  <w:font w:name="楷体_GB2312">
    <w:panose1 w:val="02010609030101010101"/>
    <w:charset w:val="86"/>
    <w:family w:val="auto"/>
    <w:pitch w:val="default"/>
    <w:sig w:usb0="00000001" w:usb1="080E0000" w:usb2="00000000" w:usb3="00000000" w:csb0="00040000" w:csb1="00000000"/>
    <w:embedRegular r:id="rId5" w:fontKey="{9C119CAA-B2A8-4401-963B-D0FBE2EF7CC8}"/>
  </w:font>
  <w:font w:name="方正仿宋_GBK">
    <w:panose1 w:val="02000000000000000000"/>
    <w:charset w:val="86"/>
    <w:family w:val="auto"/>
    <w:pitch w:val="default"/>
    <w:sig w:usb0="A00002BF" w:usb1="38CF7CFA" w:usb2="00082016" w:usb3="00000000" w:csb0="00040001" w:csb1="00000000"/>
    <w:embedRegular r:id="rId6" w:fontKey="{5A86C8D8-D978-40FC-8E94-E934F3FF5246}"/>
  </w:font>
  <w:font w:name="楷体">
    <w:panose1 w:val="02010609060101010101"/>
    <w:charset w:val="86"/>
    <w:family w:val="modern"/>
    <w:pitch w:val="default"/>
    <w:sig w:usb0="800002BF" w:usb1="38CF7CFA" w:usb2="00000016" w:usb3="00000000" w:csb0="00040001" w:csb1="00000000"/>
    <w:embedRegular r:id="rId7" w:fontKey="{2C78FB20-A725-49CD-94AE-C6988AE8AF2A}"/>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2875DA7B">
        <w:pPr>
          <w:pStyle w:val="6"/>
          <w:jc w:val="center"/>
        </w:pPr>
        <w:r>
          <w:fldChar w:fldCharType="begin"/>
        </w:r>
        <w:r>
          <w:instrText xml:space="preserve">PAGE   \* MERGEFORMAT</w:instrText>
        </w:r>
        <w:r>
          <w:fldChar w:fldCharType="separate"/>
        </w:r>
        <w:r>
          <w:rPr>
            <w:lang w:val="zh-CN"/>
          </w:rPr>
          <w:t>13</w:t>
        </w:r>
        <w:r>
          <w:fldChar w:fldCharType="end"/>
        </w:r>
      </w:p>
    </w:sdtContent>
  </w:sdt>
  <w:p w14:paraId="5EBFD7A1">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05120F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after="120"/>
    </w:pPr>
  </w:style>
  <w:style w:type="paragraph" w:styleId="4">
    <w:name w:val="Body Text Indent"/>
    <w:basedOn w:val="1"/>
    <w:autoRedefine/>
    <w:qFormat/>
    <w:uiPriority w:val="0"/>
    <w:pPr>
      <w:spacing w:after="120"/>
      <w:ind w:left="420" w:leftChars="200"/>
    </w:pPr>
    <w:rPr>
      <w:rFonts w:ascii="Calibri" w:hAnsi="Calibri"/>
    </w:rPr>
  </w:style>
  <w:style w:type="paragraph" w:styleId="5">
    <w:name w:val="Balloon Text"/>
    <w:basedOn w:val="1"/>
    <w:link w:val="20"/>
    <w:autoRedefine/>
    <w:qFormat/>
    <w:uiPriority w:val="0"/>
    <w:rPr>
      <w:sz w:val="18"/>
      <w:szCs w:val="18"/>
    </w:rPr>
  </w:style>
  <w:style w:type="paragraph" w:styleId="6">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9">
    <w:name w:val="Body Text First Indent"/>
    <w:basedOn w:val="3"/>
    <w:autoRedefine/>
    <w:qFormat/>
    <w:uiPriority w:val="0"/>
    <w:pPr>
      <w:spacing w:after="0"/>
      <w:ind w:firstLine="200" w:firstLineChars="200"/>
    </w:pPr>
  </w:style>
  <w:style w:type="paragraph" w:styleId="10">
    <w:name w:val="Body Text First Indent 2"/>
    <w:basedOn w:val="4"/>
    <w:autoRedefine/>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0"/>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3"/>
    <w:link w:val="5"/>
    <w:autoRedefine/>
    <w:qFormat/>
    <w:uiPriority w:val="0"/>
    <w:rPr>
      <w:rFonts w:ascii="Times New Roman" w:hAnsi="Times New Roman" w:eastAsia="宋体" w:cs="Times New Roman"/>
      <w:kern w:val="2"/>
      <w:sz w:val="18"/>
      <w:szCs w:val="18"/>
    </w:rPr>
  </w:style>
  <w:style w:type="character" w:customStyle="1" w:styleId="21">
    <w:name w:val="页眉 字符"/>
    <w:basedOn w:val="13"/>
    <w:link w:val="7"/>
    <w:autoRedefine/>
    <w:qFormat/>
    <w:uiPriority w:val="0"/>
    <w:rPr>
      <w:rFonts w:ascii="Times New Roman" w:hAnsi="Times New Roman" w:eastAsia="宋体" w:cs="Times New Roman"/>
      <w:kern w:val="2"/>
      <w:sz w:val="18"/>
      <w:szCs w:val="18"/>
    </w:rPr>
  </w:style>
  <w:style w:type="character" w:customStyle="1" w:styleId="22">
    <w:name w:val="批注文字 字符"/>
    <w:basedOn w:val="13"/>
    <w:link w:val="15"/>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6"/>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35462C0B3FB543198819AAAFD75799DD_13</vt:lpwstr>
  </property>
  <property fmtid="{D5CDD505-2E9C-101B-9397-08002B2CF9AE}" pid="4" name="KSOTemplateDocerSaveRecord">
    <vt:lpwstr>eyJoZGlkIjoiMmExNjllZGIwODIzMmE4YzM2MjQ4YWJhYzFkM2E3MDgifQ==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38133798-4de0-4497-9298-f4b6f4d87131}">
  <ds:schemaRefs/>
</ds:datastoreItem>
</file>

<file path=docProps/app.xml><?xml version="1.0" encoding="utf-8"?>
<Properties xmlns="http://schemas.openxmlformats.org/officeDocument/2006/extended-properties" xmlns:vt="http://schemas.openxmlformats.org/officeDocument/2006/docPropsVTypes">
  <Template>Normal</Template>
  <Pages>16</Pages>
  <Words>7847</Words>
  <Characters>8328</Characters>
  <Lines>66</Lines>
  <Paragraphs>18</Paragraphs>
  <TotalTime>27</TotalTime>
  <ScaleCrop>false</ScaleCrop>
  <LinksUpToDate>false</LinksUpToDate>
  <CharactersWithSpaces>8339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2025-11-05T04:45:56Z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eyJoZGlkIjoiMmExNjllZGIwODIzMmE4YzM2MjQ4YWJhYzFkM2E3MDgifQ_x003D__x003D_</vt:lpwstr>
  </property>
</Properties>
</file>